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B1D" w:rsidRPr="009329E2" w:rsidRDefault="009329E2" w:rsidP="009329E2">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fr-BE"/>
        </w:rPr>
      </w:pPr>
      <w:r w:rsidRPr="009329E2">
        <w:rPr>
          <w:rFonts w:ascii="Times New Roman" w:eastAsia="Times New Roman" w:hAnsi="Times New Roman" w:cs="Times New Roman"/>
          <w:b/>
          <w:bCs/>
          <w:kern w:val="36"/>
          <w:sz w:val="36"/>
          <w:szCs w:val="36"/>
          <w:lang w:eastAsia="fr-BE"/>
        </w:rPr>
        <w:t xml:space="preserve">Fonds ASSS : octroi d’un mi-temps aux institutions qui engagent un jeune </w:t>
      </w:r>
      <w:r>
        <w:rPr>
          <w:rFonts w:ascii="Times New Roman" w:eastAsia="Times New Roman" w:hAnsi="Times New Roman" w:cs="Times New Roman"/>
          <w:b/>
          <w:bCs/>
          <w:kern w:val="36"/>
          <w:sz w:val="36"/>
          <w:szCs w:val="36"/>
          <w:lang w:eastAsia="fr-BE"/>
        </w:rPr>
        <w:t>en formation</w:t>
      </w:r>
      <w:r w:rsidRPr="009329E2">
        <w:rPr>
          <w:rFonts w:ascii="Times New Roman" w:eastAsia="Times New Roman" w:hAnsi="Times New Roman" w:cs="Times New Roman"/>
          <w:b/>
          <w:bCs/>
          <w:kern w:val="36"/>
          <w:sz w:val="36"/>
          <w:szCs w:val="36"/>
          <w:lang w:eastAsia="fr-BE"/>
        </w:rPr>
        <w:t xml:space="preserve"> en alternance.</w:t>
      </w:r>
    </w:p>
    <w:p w:rsidR="00541B1D" w:rsidRPr="005B538C" w:rsidRDefault="00541B1D" w:rsidP="005B538C">
      <w:pPr>
        <w:jc w:val="both"/>
      </w:pPr>
      <w:r w:rsidRPr="005B538C">
        <w:t xml:space="preserve">Depuis septembre 2017, les institutions du secteur Aide Sociale et Soins de Santé peuvent recevoir un soutien de leur Fonds Social  lors de l’engagement d’un jeune de moins de 26 ans </w:t>
      </w:r>
      <w:r w:rsidR="00C42C23" w:rsidRPr="005B538C">
        <w:t xml:space="preserve">qui suit une formation </w:t>
      </w:r>
      <w:r w:rsidRPr="005B538C">
        <w:t>en alternance</w:t>
      </w:r>
      <w:r w:rsidR="000720CD" w:rsidRPr="005B538C">
        <w:t xml:space="preserve"> (en CEFA)</w:t>
      </w:r>
      <w:r w:rsidRPr="005B538C">
        <w:t>.</w:t>
      </w:r>
    </w:p>
    <w:p w:rsidR="009329E2" w:rsidRPr="00EB0C9B" w:rsidRDefault="009329E2" w:rsidP="009329E2">
      <w:pPr>
        <w:rPr>
          <w:rFonts w:ascii="Arial" w:hAnsi="Arial" w:cs="Arial"/>
          <w:b/>
          <w:sz w:val="28"/>
          <w:szCs w:val="28"/>
        </w:rPr>
      </w:pPr>
      <w:r>
        <w:rPr>
          <w:b/>
          <w:sz w:val="26"/>
        </w:rPr>
        <w:t>Qu’est-ce que la formation en alternance ?</w:t>
      </w:r>
      <w:r w:rsidRPr="00EB0C9B">
        <w:rPr>
          <w:rFonts w:ascii="Arial" w:hAnsi="Arial" w:cs="Arial"/>
          <w:b/>
          <w:sz w:val="28"/>
          <w:szCs w:val="28"/>
        </w:rPr>
        <w:t xml:space="preserve"> </w:t>
      </w:r>
    </w:p>
    <w:p w:rsidR="009329E2" w:rsidRPr="00903BC5" w:rsidRDefault="009329E2" w:rsidP="009329E2">
      <w:pPr>
        <w:jc w:val="both"/>
      </w:pPr>
      <w:r w:rsidRPr="00903BC5">
        <w:t xml:space="preserve">La formation en alternance est une formation qui associe les cours théoriques et techniques dans un centre de formation (CEFA) et la pratique des connaissances au sein d’une institution. </w:t>
      </w:r>
    </w:p>
    <w:p w:rsidR="009329E2" w:rsidRPr="00903BC5" w:rsidRDefault="009329E2" w:rsidP="009329E2">
      <w:pPr>
        <w:jc w:val="both"/>
      </w:pPr>
      <w:r w:rsidRPr="00903BC5">
        <w:t>Le jeune est acteur de sa formation, il découvre le</w:t>
      </w:r>
      <w:bookmarkStart w:id="0" w:name="_GoBack"/>
      <w:bookmarkEnd w:id="0"/>
      <w:r w:rsidRPr="00903BC5">
        <w:t xml:space="preserve">s réalités du monde du travail et le fonctionnement de l’institution tout en poursuivant son apprentissage </w:t>
      </w:r>
      <w:r>
        <w:t xml:space="preserve">dans un CEFA </w:t>
      </w:r>
      <w:r w:rsidRPr="00903BC5">
        <w:t>(</w:t>
      </w:r>
      <w:r>
        <w:t>Centre d’éducation et de formation en alternance. S</w:t>
      </w:r>
      <w:r w:rsidRPr="00903BC5">
        <w:t>ouvent 2 journées de cours et 3 journées de travail).</w:t>
      </w:r>
    </w:p>
    <w:p w:rsidR="00541B1D" w:rsidRPr="00003400" w:rsidRDefault="00541B1D" w:rsidP="005B538C">
      <w:pPr>
        <w:jc w:val="both"/>
        <w:rPr>
          <w:b/>
        </w:rPr>
      </w:pPr>
      <w:r w:rsidRPr="00003400">
        <w:rPr>
          <w:b/>
        </w:rPr>
        <w:t>Quel soutien ?</w:t>
      </w:r>
    </w:p>
    <w:p w:rsidR="00541B1D" w:rsidRPr="005B538C" w:rsidRDefault="00541B1D" w:rsidP="005B538C">
      <w:pPr>
        <w:jc w:val="both"/>
      </w:pPr>
      <w:r w:rsidRPr="005B538C">
        <w:t>Le soutien est triple pour l’institution. Elle reçoit :</w:t>
      </w:r>
      <w:r w:rsidR="005B538C">
        <w:tab/>
      </w:r>
      <w:r w:rsidR="009329E2" w:rsidRPr="005B538C">
        <w:br/>
      </w:r>
      <w:r w:rsidR="00003400">
        <w:br/>
      </w:r>
      <w:r w:rsidRPr="005B538C">
        <w:t>1. le financement  du coût salarial du jeune à mi-temps entre le 1er octobre 201</w:t>
      </w:r>
      <w:r w:rsidR="00C42C23" w:rsidRPr="005B538C">
        <w:t>7</w:t>
      </w:r>
      <w:r w:rsidRPr="005B538C">
        <w:t xml:space="preserve"> et le </w:t>
      </w:r>
      <w:r w:rsidR="00C53A34">
        <w:t>31 août</w:t>
      </w:r>
      <w:r w:rsidR="0048678F" w:rsidRPr="005B538C">
        <w:t xml:space="preserve"> </w:t>
      </w:r>
      <w:r w:rsidR="00C42C23" w:rsidRPr="005B538C">
        <w:t>2018</w:t>
      </w:r>
      <w:r w:rsidR="00C53A34">
        <w:t xml:space="preserve"> (prolongeable jusque juin 2019)</w:t>
      </w:r>
    </w:p>
    <w:p w:rsidR="00541B1D" w:rsidRPr="005B538C" w:rsidRDefault="00541B1D" w:rsidP="00541B1D">
      <w:pPr>
        <w:numPr>
          <w:ilvl w:val="0"/>
          <w:numId w:val="1"/>
        </w:numPr>
        <w:spacing w:before="100" w:beforeAutospacing="1" w:after="100" w:afterAutospacing="1" w:line="240" w:lineRule="auto"/>
        <w:rPr>
          <w:rFonts w:eastAsia="Times New Roman" w:cstheme="minorHAnsi"/>
          <w:lang w:eastAsia="fr-BE"/>
        </w:rPr>
      </w:pPr>
      <w:r w:rsidRPr="005B538C">
        <w:rPr>
          <w:rFonts w:eastAsia="Times New Roman" w:cstheme="minorHAnsi"/>
          <w:lang w:eastAsia="fr-BE"/>
        </w:rPr>
        <w:t>Salaire brut</w:t>
      </w:r>
      <w:r w:rsidR="0048678F" w:rsidRPr="005B538C">
        <w:rPr>
          <w:rFonts w:eastAsia="Times New Roman" w:cstheme="minorHAnsi"/>
          <w:lang w:eastAsia="fr-BE"/>
        </w:rPr>
        <w:t xml:space="preserve"> selon les barèmes</w:t>
      </w:r>
      <w:r w:rsidRPr="005B538C">
        <w:rPr>
          <w:rFonts w:eastAsia="Times New Roman" w:cstheme="minorHAnsi"/>
          <w:lang w:eastAsia="fr-BE"/>
        </w:rPr>
        <w:t xml:space="preserve"> </w:t>
      </w:r>
      <w:r w:rsidR="00C42C23" w:rsidRPr="005B538C">
        <w:rPr>
          <w:rFonts w:eastAsia="Times New Roman" w:cstheme="minorHAnsi"/>
          <w:lang w:eastAsia="fr-BE"/>
        </w:rPr>
        <w:t>du secteur</w:t>
      </w:r>
      <w:r w:rsidRPr="005B538C">
        <w:rPr>
          <w:rFonts w:eastAsia="Times New Roman" w:cstheme="minorHAnsi"/>
          <w:lang w:eastAsia="fr-BE"/>
        </w:rPr>
        <w:t xml:space="preserve"> </w:t>
      </w:r>
    </w:p>
    <w:p w:rsidR="0048678F" w:rsidRPr="005B538C" w:rsidRDefault="00541B1D" w:rsidP="00C42C23">
      <w:pPr>
        <w:numPr>
          <w:ilvl w:val="0"/>
          <w:numId w:val="1"/>
        </w:numPr>
        <w:spacing w:before="100" w:beforeAutospacing="1" w:after="100" w:afterAutospacing="1" w:line="240" w:lineRule="auto"/>
        <w:rPr>
          <w:rFonts w:eastAsia="Times New Roman" w:cstheme="minorHAnsi"/>
          <w:lang w:eastAsia="fr-BE"/>
        </w:rPr>
      </w:pPr>
      <w:r w:rsidRPr="005B538C">
        <w:rPr>
          <w:rFonts w:eastAsia="Times New Roman" w:cstheme="minorHAnsi"/>
          <w:lang w:eastAsia="fr-BE"/>
        </w:rPr>
        <w:t>Charges patronales</w:t>
      </w:r>
    </w:p>
    <w:p w:rsidR="00541B1D" w:rsidRPr="005B538C" w:rsidRDefault="00541B1D" w:rsidP="00C42C23">
      <w:pPr>
        <w:numPr>
          <w:ilvl w:val="0"/>
          <w:numId w:val="1"/>
        </w:numPr>
        <w:spacing w:before="100" w:beforeAutospacing="1" w:after="100" w:afterAutospacing="1" w:line="240" w:lineRule="auto"/>
        <w:rPr>
          <w:rFonts w:eastAsia="Times New Roman" w:cstheme="minorHAnsi"/>
          <w:lang w:eastAsia="fr-BE"/>
        </w:rPr>
      </w:pPr>
      <w:r w:rsidRPr="005B538C">
        <w:rPr>
          <w:rFonts w:eastAsia="Times New Roman" w:cstheme="minorHAnsi"/>
          <w:lang w:eastAsia="fr-BE"/>
        </w:rPr>
        <w:t>Indemnités et avantages du travailleur en vertu de la CP 332</w:t>
      </w:r>
    </w:p>
    <w:p w:rsidR="00003400" w:rsidRPr="00003400" w:rsidRDefault="00541B1D" w:rsidP="00003400">
      <w:pPr>
        <w:numPr>
          <w:ilvl w:val="0"/>
          <w:numId w:val="1"/>
        </w:numPr>
        <w:spacing w:before="100" w:beforeAutospacing="1" w:after="100" w:afterAutospacing="1" w:line="240" w:lineRule="auto"/>
      </w:pPr>
      <w:r w:rsidRPr="00003400">
        <w:rPr>
          <w:rFonts w:eastAsia="Times New Roman" w:cstheme="minorHAnsi"/>
          <w:lang w:eastAsia="fr-BE"/>
        </w:rPr>
        <w:t>Participation aux frais de déplacement  plafonné à 300€/an sur base des frais réels</w:t>
      </w:r>
    </w:p>
    <w:p w:rsidR="00541B1D" w:rsidRPr="005B538C" w:rsidRDefault="00541B1D" w:rsidP="00003400">
      <w:pPr>
        <w:spacing w:before="100" w:beforeAutospacing="1" w:after="100" w:afterAutospacing="1" w:line="240" w:lineRule="auto"/>
        <w:jc w:val="both"/>
      </w:pPr>
      <w:r w:rsidRPr="005B538C">
        <w:t>2. le financement  d’une partie du temps de travail dédié au tutorat à hauteur de 4h/semaine jusqu’à la fin de la formation du jeune (à hauteur de 25€/h</w:t>
      </w:r>
      <w:r w:rsidR="00654DE2" w:rsidRPr="005B538C">
        <w:t xml:space="preserve"> maximum</w:t>
      </w:r>
      <w:r w:rsidRPr="005B538C">
        <w:t>)</w:t>
      </w:r>
      <w:r w:rsidR="00C42C23" w:rsidRPr="005B538C">
        <w:t xml:space="preserve"> soit un possible financement </w:t>
      </w:r>
      <w:r w:rsidR="00AB0ED3" w:rsidRPr="005B538C">
        <w:t xml:space="preserve">jusqu’à </w:t>
      </w:r>
      <w:r w:rsidR="00C42C23" w:rsidRPr="005B538C">
        <w:t>400 €/mois</w:t>
      </w:r>
    </w:p>
    <w:p w:rsidR="00541B1D" w:rsidRPr="005B538C" w:rsidRDefault="00541B1D" w:rsidP="005B538C">
      <w:pPr>
        <w:jc w:val="both"/>
      </w:pPr>
      <w:r w:rsidRPr="005B538C">
        <w:t> 3. des possibilités de formations au tutorat gratuites pour les salariés : formation de base, accompagnement d’équipe et intervisions entre tuteurs d’institutions différentes.</w:t>
      </w:r>
    </w:p>
    <w:p w:rsidR="00654DE2" w:rsidRPr="005B538C" w:rsidRDefault="00654DE2" w:rsidP="005B538C">
      <w:pPr>
        <w:jc w:val="both"/>
        <w:rPr>
          <w:rFonts w:eastAsia="Times New Roman" w:cstheme="minorHAnsi"/>
          <w:lang w:eastAsia="fr-BE"/>
        </w:rPr>
      </w:pPr>
      <w:r w:rsidRPr="005B538C">
        <w:t>Voir catalogue Formapef (pp 188, 190-197,201):</w:t>
      </w:r>
      <w:r>
        <w:rPr>
          <w:rFonts w:ascii="Times New Roman" w:eastAsia="Times New Roman" w:hAnsi="Times New Roman" w:cs="Times New Roman"/>
          <w:sz w:val="24"/>
          <w:szCs w:val="24"/>
          <w:lang w:eastAsia="fr-BE"/>
        </w:rPr>
        <w:t xml:space="preserve"> </w:t>
      </w:r>
      <w:hyperlink r:id="rId5" w:history="1">
        <w:r w:rsidRPr="005B538C">
          <w:rPr>
            <w:rStyle w:val="Lienhypertexte"/>
            <w:rFonts w:eastAsia="Times New Roman" w:cstheme="minorHAnsi"/>
            <w:lang w:eastAsia="fr-BE"/>
          </w:rPr>
          <w:t>http://www.apefasbl.org/formapef/catalogue-formapef-2017-2018</w:t>
        </w:r>
      </w:hyperlink>
    </w:p>
    <w:p w:rsidR="00541B1D" w:rsidRPr="005B538C" w:rsidRDefault="00541B1D" w:rsidP="00541B1D">
      <w:pPr>
        <w:spacing w:before="100" w:beforeAutospacing="1" w:after="100" w:afterAutospacing="1" w:line="240" w:lineRule="auto"/>
        <w:rPr>
          <w:rFonts w:eastAsia="Times New Roman" w:cstheme="minorHAnsi"/>
          <w:sz w:val="24"/>
          <w:szCs w:val="24"/>
          <w:lang w:eastAsia="fr-BE"/>
        </w:rPr>
      </w:pPr>
      <w:r w:rsidRPr="005B538C">
        <w:rPr>
          <w:rFonts w:eastAsia="Times New Roman" w:cstheme="minorHAnsi"/>
          <w:sz w:val="24"/>
          <w:szCs w:val="24"/>
          <w:lang w:eastAsia="fr-BE"/>
        </w:rPr>
        <w:t xml:space="preserve"> Si vous avez des remarques ou des questions quant à ce projet, n’hésitez pas à nous contacter à </w:t>
      </w:r>
      <w:hyperlink r:id="rId6" w:history="1">
        <w:r w:rsidR="00C53A34" w:rsidRPr="00C0597B">
          <w:rPr>
            <w:rStyle w:val="Lienhypertexte"/>
            <w:rFonts w:eastAsia="Times New Roman" w:cstheme="minorHAnsi"/>
            <w:sz w:val="24"/>
            <w:szCs w:val="24"/>
            <w:lang w:eastAsia="fr-BE"/>
          </w:rPr>
          <w:t>coach.sectoriel@apef-febi.org</w:t>
        </w:r>
      </w:hyperlink>
      <w:r w:rsidR="00C53A34">
        <w:rPr>
          <w:rFonts w:eastAsia="Times New Roman" w:cstheme="minorHAnsi"/>
          <w:sz w:val="24"/>
          <w:szCs w:val="24"/>
          <w:lang w:eastAsia="fr-BE"/>
        </w:rPr>
        <w:t xml:space="preserve"> ou à consulter la page </w:t>
      </w:r>
      <w:hyperlink r:id="rId7" w:history="1">
        <w:r w:rsidR="00C53A34" w:rsidRPr="00C0597B">
          <w:rPr>
            <w:rStyle w:val="Lienhypertexte"/>
            <w:rFonts w:eastAsia="Times New Roman" w:cstheme="minorHAnsi"/>
            <w:sz w:val="24"/>
            <w:szCs w:val="24"/>
            <w:lang w:eastAsia="fr-BE"/>
          </w:rPr>
          <w:t>www.alternancecp332.org</w:t>
        </w:r>
      </w:hyperlink>
      <w:r w:rsidR="00C53A34">
        <w:rPr>
          <w:rFonts w:eastAsia="Times New Roman" w:cstheme="minorHAnsi"/>
          <w:sz w:val="24"/>
          <w:szCs w:val="24"/>
          <w:lang w:eastAsia="fr-BE"/>
        </w:rPr>
        <w:t xml:space="preserve">.  </w:t>
      </w:r>
    </w:p>
    <w:p w:rsidR="00541B1D" w:rsidRPr="005B538C" w:rsidRDefault="00541B1D" w:rsidP="00541B1D">
      <w:pPr>
        <w:spacing w:before="100" w:beforeAutospacing="1" w:after="100" w:afterAutospacing="1" w:line="240" w:lineRule="auto"/>
        <w:rPr>
          <w:rFonts w:eastAsia="Times New Roman" w:cstheme="minorHAnsi"/>
          <w:b/>
          <w:bCs/>
          <w:i/>
          <w:iCs/>
          <w:sz w:val="24"/>
          <w:szCs w:val="24"/>
          <w:lang w:eastAsia="fr-BE"/>
        </w:rPr>
      </w:pPr>
      <w:r w:rsidRPr="005B538C">
        <w:rPr>
          <w:rFonts w:eastAsia="Times New Roman" w:cstheme="minorHAnsi"/>
          <w:b/>
          <w:bCs/>
          <w:i/>
          <w:iCs/>
          <w:sz w:val="24"/>
          <w:szCs w:val="24"/>
          <w:lang w:eastAsia="fr-BE"/>
        </w:rPr>
        <w:t>Documents utiles</w:t>
      </w:r>
    </w:p>
    <w:p w:rsidR="009329E2" w:rsidRPr="005B538C" w:rsidRDefault="004A0B80" w:rsidP="00541B1D">
      <w:pPr>
        <w:spacing w:before="100" w:beforeAutospacing="1" w:after="100" w:afterAutospacing="1" w:line="240" w:lineRule="auto"/>
        <w:rPr>
          <w:rFonts w:eastAsia="Times New Roman" w:cstheme="minorHAnsi"/>
          <w:color w:val="0000FF"/>
          <w:sz w:val="24"/>
          <w:szCs w:val="24"/>
          <w:u w:val="single"/>
          <w:lang w:eastAsia="fr-BE"/>
        </w:rPr>
      </w:pPr>
      <w:hyperlink r:id="rId8" w:history="1">
        <w:r w:rsidR="009329E2" w:rsidRPr="005B538C">
          <w:rPr>
            <w:rFonts w:eastAsia="Times New Roman" w:cstheme="minorHAnsi"/>
            <w:color w:val="0000FF"/>
            <w:sz w:val="24"/>
            <w:szCs w:val="24"/>
            <w:u w:val="single"/>
            <w:lang w:eastAsia="fr-BE"/>
          </w:rPr>
          <w:t>Déclaration d'intérêt</w:t>
        </w:r>
      </w:hyperlink>
    </w:p>
    <w:p w:rsidR="009329E2" w:rsidRPr="005B538C" w:rsidRDefault="004A0B80" w:rsidP="00541B1D">
      <w:pPr>
        <w:spacing w:before="100" w:beforeAutospacing="1" w:after="100" w:afterAutospacing="1" w:line="240" w:lineRule="auto"/>
        <w:rPr>
          <w:rFonts w:eastAsia="Times New Roman" w:cstheme="minorHAnsi"/>
          <w:sz w:val="24"/>
          <w:szCs w:val="24"/>
          <w:lang w:eastAsia="fr-BE"/>
        </w:rPr>
      </w:pPr>
      <w:hyperlink r:id="rId9" w:history="1">
        <w:r w:rsidR="009329E2" w:rsidRPr="005B538C">
          <w:rPr>
            <w:rFonts w:eastAsia="Times New Roman" w:cstheme="minorHAnsi"/>
            <w:color w:val="0000FF"/>
            <w:sz w:val="24"/>
            <w:szCs w:val="24"/>
            <w:u w:val="single"/>
            <w:lang w:eastAsia="fr-BE"/>
          </w:rPr>
          <w:t>Fiche d’identification</w:t>
        </w:r>
      </w:hyperlink>
      <w:r w:rsidR="009329E2" w:rsidRPr="005B538C">
        <w:rPr>
          <w:rFonts w:eastAsia="Times New Roman" w:cstheme="minorHAnsi"/>
          <w:color w:val="0000FF"/>
          <w:sz w:val="24"/>
          <w:szCs w:val="24"/>
          <w:u w:val="single"/>
          <w:lang w:eastAsia="fr-BE"/>
        </w:rPr>
        <w:t xml:space="preserve"> préalable à l’engagement</w:t>
      </w:r>
    </w:p>
    <w:p w:rsidR="00541B1D" w:rsidRPr="005B538C" w:rsidRDefault="00541B1D" w:rsidP="00541B1D">
      <w:pPr>
        <w:spacing w:before="100" w:beforeAutospacing="1" w:after="100" w:afterAutospacing="1" w:line="240" w:lineRule="auto"/>
        <w:rPr>
          <w:rFonts w:eastAsia="Times New Roman" w:cstheme="minorHAnsi"/>
          <w:sz w:val="24"/>
          <w:szCs w:val="24"/>
          <w:lang w:eastAsia="fr-BE"/>
        </w:rPr>
      </w:pPr>
      <w:r w:rsidRPr="005B538C">
        <w:rPr>
          <w:rFonts w:eastAsia="Times New Roman" w:cstheme="minorHAnsi"/>
          <w:b/>
          <w:bCs/>
          <w:i/>
          <w:iCs/>
          <w:sz w:val="24"/>
          <w:szCs w:val="24"/>
          <w:lang w:eastAsia="fr-BE"/>
        </w:rPr>
        <w:t xml:space="preserve">Outil en lien avec ce type de tutorat </w:t>
      </w:r>
    </w:p>
    <w:p w:rsidR="0014099A" w:rsidRPr="005B538C" w:rsidRDefault="00541B1D" w:rsidP="0048678F">
      <w:pPr>
        <w:numPr>
          <w:ilvl w:val="0"/>
          <w:numId w:val="6"/>
        </w:numPr>
        <w:spacing w:before="100" w:beforeAutospacing="1" w:after="100" w:afterAutospacing="1" w:line="240" w:lineRule="auto"/>
        <w:rPr>
          <w:rFonts w:cstheme="minorHAnsi"/>
        </w:rPr>
      </w:pPr>
      <w:r w:rsidRPr="005B538C">
        <w:rPr>
          <w:rFonts w:eastAsia="Times New Roman" w:cstheme="minorHAnsi"/>
          <w:sz w:val="24"/>
          <w:szCs w:val="24"/>
          <w:lang w:eastAsia="fr-BE"/>
        </w:rPr>
        <w:lastRenderedPageBreak/>
        <w:t xml:space="preserve">La boite à outils  Soutien au </w:t>
      </w:r>
      <w:hyperlink r:id="rId10" w:history="1">
        <w:r w:rsidRPr="005B538C">
          <w:rPr>
            <w:rFonts w:eastAsia="Times New Roman" w:cstheme="minorHAnsi"/>
            <w:color w:val="0000FF"/>
            <w:sz w:val="24"/>
            <w:szCs w:val="24"/>
            <w:u w:val="single"/>
            <w:lang w:eastAsia="fr-BE"/>
          </w:rPr>
          <w:t>Tutorat d’insertion</w:t>
        </w:r>
      </w:hyperlink>
      <w:r w:rsidRPr="005B538C">
        <w:rPr>
          <w:rFonts w:eastAsia="Times New Roman" w:cstheme="minorHAnsi"/>
          <w:sz w:val="24"/>
          <w:szCs w:val="24"/>
          <w:lang w:eastAsia="fr-BE"/>
        </w:rPr>
        <w:t xml:space="preserve"> des jeunes peu qualifiés</w:t>
      </w:r>
    </w:p>
    <w:sectPr w:rsidR="0014099A" w:rsidRPr="005B538C" w:rsidSect="00003400">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B04A4"/>
    <w:multiLevelType w:val="multilevel"/>
    <w:tmpl w:val="80FA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300AE6"/>
    <w:multiLevelType w:val="multilevel"/>
    <w:tmpl w:val="930E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3A2F08"/>
    <w:multiLevelType w:val="multilevel"/>
    <w:tmpl w:val="E6980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746DB5"/>
    <w:multiLevelType w:val="multilevel"/>
    <w:tmpl w:val="EA101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3D1B25"/>
    <w:multiLevelType w:val="multilevel"/>
    <w:tmpl w:val="3DEA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2C3C57"/>
    <w:multiLevelType w:val="multilevel"/>
    <w:tmpl w:val="193A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B1D"/>
    <w:rsid w:val="00003400"/>
    <w:rsid w:val="000720CD"/>
    <w:rsid w:val="000F5904"/>
    <w:rsid w:val="0014099A"/>
    <w:rsid w:val="00374E34"/>
    <w:rsid w:val="0048678F"/>
    <w:rsid w:val="004A0B80"/>
    <w:rsid w:val="00541B1D"/>
    <w:rsid w:val="005B538C"/>
    <w:rsid w:val="00654DE2"/>
    <w:rsid w:val="009329E2"/>
    <w:rsid w:val="00AB0ED3"/>
    <w:rsid w:val="00C42C23"/>
    <w:rsid w:val="00C53A34"/>
    <w:rsid w:val="00FD68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D94028-4B4C-4E00-8B0B-5DACA335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541B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3">
    <w:name w:val="heading 3"/>
    <w:basedOn w:val="Normal"/>
    <w:link w:val="Titre3Car"/>
    <w:uiPriority w:val="9"/>
    <w:qFormat/>
    <w:rsid w:val="00541B1D"/>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1B1D"/>
    <w:rPr>
      <w:rFonts w:ascii="Times New Roman" w:eastAsia="Times New Roman" w:hAnsi="Times New Roman" w:cs="Times New Roman"/>
      <w:b/>
      <w:bCs/>
      <w:kern w:val="36"/>
      <w:sz w:val="48"/>
      <w:szCs w:val="48"/>
      <w:lang w:eastAsia="fr-BE"/>
    </w:rPr>
  </w:style>
  <w:style w:type="character" w:customStyle="1" w:styleId="Titre3Car">
    <w:name w:val="Titre 3 Car"/>
    <w:basedOn w:val="Policepardfaut"/>
    <w:link w:val="Titre3"/>
    <w:uiPriority w:val="9"/>
    <w:rsid w:val="00541B1D"/>
    <w:rPr>
      <w:rFonts w:ascii="Times New Roman" w:eastAsia="Times New Roman" w:hAnsi="Times New Roman" w:cs="Times New Roman"/>
      <w:b/>
      <w:bCs/>
      <w:sz w:val="27"/>
      <w:szCs w:val="27"/>
      <w:lang w:eastAsia="fr-BE"/>
    </w:rPr>
  </w:style>
  <w:style w:type="paragraph" w:styleId="NormalWeb">
    <w:name w:val="Normal (Web)"/>
    <w:basedOn w:val="Normal"/>
    <w:uiPriority w:val="99"/>
    <w:semiHidden/>
    <w:unhideWhenUsed/>
    <w:rsid w:val="00541B1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541B1D"/>
    <w:rPr>
      <w:color w:val="0000FF"/>
      <w:u w:val="single"/>
    </w:rPr>
  </w:style>
  <w:style w:type="character" w:customStyle="1" w:styleId="internal-link">
    <w:name w:val="internal-link"/>
    <w:basedOn w:val="Policepardfaut"/>
    <w:rsid w:val="00541B1D"/>
  </w:style>
  <w:style w:type="character" w:styleId="Marquedecommentaire">
    <w:name w:val="annotation reference"/>
    <w:basedOn w:val="Policepardfaut"/>
    <w:uiPriority w:val="99"/>
    <w:semiHidden/>
    <w:unhideWhenUsed/>
    <w:rsid w:val="00C42C23"/>
    <w:rPr>
      <w:sz w:val="16"/>
      <w:szCs w:val="16"/>
    </w:rPr>
  </w:style>
  <w:style w:type="paragraph" w:styleId="Commentaire">
    <w:name w:val="annotation text"/>
    <w:basedOn w:val="Normal"/>
    <w:link w:val="CommentaireCar"/>
    <w:uiPriority w:val="99"/>
    <w:semiHidden/>
    <w:unhideWhenUsed/>
    <w:rsid w:val="00C42C23"/>
    <w:pPr>
      <w:spacing w:line="240" w:lineRule="auto"/>
    </w:pPr>
    <w:rPr>
      <w:sz w:val="20"/>
      <w:szCs w:val="20"/>
    </w:rPr>
  </w:style>
  <w:style w:type="character" w:customStyle="1" w:styleId="CommentaireCar">
    <w:name w:val="Commentaire Car"/>
    <w:basedOn w:val="Policepardfaut"/>
    <w:link w:val="Commentaire"/>
    <w:uiPriority w:val="99"/>
    <w:semiHidden/>
    <w:rsid w:val="00C42C23"/>
    <w:rPr>
      <w:sz w:val="20"/>
      <w:szCs w:val="20"/>
    </w:rPr>
  </w:style>
  <w:style w:type="paragraph" w:styleId="Objetducommentaire">
    <w:name w:val="annotation subject"/>
    <w:basedOn w:val="Commentaire"/>
    <w:next w:val="Commentaire"/>
    <w:link w:val="ObjetducommentaireCar"/>
    <w:uiPriority w:val="99"/>
    <w:semiHidden/>
    <w:unhideWhenUsed/>
    <w:rsid w:val="00C42C23"/>
    <w:rPr>
      <w:b/>
      <w:bCs/>
    </w:rPr>
  </w:style>
  <w:style w:type="character" w:customStyle="1" w:styleId="ObjetducommentaireCar">
    <w:name w:val="Objet du commentaire Car"/>
    <w:basedOn w:val="CommentaireCar"/>
    <w:link w:val="Objetducommentaire"/>
    <w:uiPriority w:val="99"/>
    <w:semiHidden/>
    <w:rsid w:val="00C42C23"/>
    <w:rPr>
      <w:b/>
      <w:bCs/>
      <w:sz w:val="20"/>
      <w:szCs w:val="20"/>
    </w:rPr>
  </w:style>
  <w:style w:type="paragraph" w:styleId="Textedebulles">
    <w:name w:val="Balloon Text"/>
    <w:basedOn w:val="Normal"/>
    <w:link w:val="TextedebullesCar"/>
    <w:uiPriority w:val="99"/>
    <w:semiHidden/>
    <w:unhideWhenUsed/>
    <w:rsid w:val="00C42C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2C23"/>
    <w:rPr>
      <w:rFonts w:ascii="Tahoma" w:hAnsi="Tahoma" w:cs="Tahoma"/>
      <w:sz w:val="16"/>
      <w:szCs w:val="16"/>
    </w:rPr>
  </w:style>
  <w:style w:type="character" w:styleId="Lienhypertextesuivivisit">
    <w:name w:val="FollowedHyperlink"/>
    <w:basedOn w:val="Policepardfaut"/>
    <w:uiPriority w:val="99"/>
    <w:semiHidden/>
    <w:unhideWhenUsed/>
    <w:rsid w:val="004A0B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726760">
      <w:bodyDiv w:val="1"/>
      <w:marLeft w:val="0"/>
      <w:marRight w:val="0"/>
      <w:marTop w:val="0"/>
      <w:marBottom w:val="0"/>
      <w:divBdr>
        <w:top w:val="none" w:sz="0" w:space="0" w:color="auto"/>
        <w:left w:val="none" w:sz="0" w:space="0" w:color="auto"/>
        <w:bottom w:val="none" w:sz="0" w:space="0" w:color="auto"/>
        <w:right w:val="none" w:sz="0" w:space="0" w:color="auto"/>
      </w:divBdr>
      <w:divsChild>
        <w:div w:id="1157961265">
          <w:marLeft w:val="0"/>
          <w:marRight w:val="0"/>
          <w:marTop w:val="0"/>
          <w:marBottom w:val="0"/>
          <w:divBdr>
            <w:top w:val="none" w:sz="0" w:space="0" w:color="auto"/>
            <w:left w:val="none" w:sz="0" w:space="0" w:color="auto"/>
            <w:bottom w:val="none" w:sz="0" w:space="0" w:color="auto"/>
            <w:right w:val="none" w:sz="0" w:space="0" w:color="auto"/>
          </w:divBdr>
        </w:div>
        <w:div w:id="1529680629">
          <w:marLeft w:val="0"/>
          <w:marRight w:val="0"/>
          <w:marTop w:val="0"/>
          <w:marBottom w:val="0"/>
          <w:divBdr>
            <w:top w:val="none" w:sz="0" w:space="0" w:color="auto"/>
            <w:left w:val="none" w:sz="0" w:space="0" w:color="auto"/>
            <w:bottom w:val="none" w:sz="0" w:space="0" w:color="auto"/>
            <w:right w:val="none" w:sz="0" w:space="0" w:color="auto"/>
          </w:divBdr>
          <w:divsChild>
            <w:div w:id="2046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efasbl.org/les-fonds-de-formation/ess-etablissements-et-services-de-sante/cefa-declaration-d-interet" TargetMode="External"/><Relationship Id="rId3" Type="http://schemas.openxmlformats.org/officeDocument/2006/relationships/settings" Target="settings.xml"/><Relationship Id="rId7" Type="http://schemas.openxmlformats.org/officeDocument/2006/relationships/hyperlink" Target="http://www.alternancecp332.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ach.sectoriel@apef-febi.org" TargetMode="External"/><Relationship Id="rId11" Type="http://schemas.openxmlformats.org/officeDocument/2006/relationships/fontTable" Target="fontTable.xml"/><Relationship Id="rId5" Type="http://schemas.openxmlformats.org/officeDocument/2006/relationships/hyperlink" Target="http://www.apefasbl.org/formapef/catalogue-formapef-2017-2018" TargetMode="External"/><Relationship Id="rId10" Type="http://schemas.openxmlformats.org/officeDocument/2006/relationships/hyperlink" Target="http://www.apefasbl.org/les-fonds-de-formation/mae-milieux-daccueil-denfants/projet-jeunes-tutorat-d-insertion" TargetMode="External"/><Relationship Id="rId4" Type="http://schemas.openxmlformats.org/officeDocument/2006/relationships/webSettings" Target="webSettings.xml"/><Relationship Id="rId9" Type="http://schemas.openxmlformats.org/officeDocument/2006/relationships/hyperlink" Target="http://www.apefasbl.org/les-fonds-de-formation/ess-etablissements-et-services-de-sante/fonds-asss-cefa-fiche-preabable-a-l-engage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2296</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DISABATO</dc:creator>
  <cp:lastModifiedBy>Sugero, Maria</cp:lastModifiedBy>
  <cp:revision>2</cp:revision>
  <dcterms:created xsi:type="dcterms:W3CDTF">2017-12-19T11:36:00Z</dcterms:created>
  <dcterms:modified xsi:type="dcterms:W3CDTF">2017-12-19T11:36:00Z</dcterms:modified>
</cp:coreProperties>
</file>